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B3290">
        <w:rPr>
          <w:rFonts w:ascii="Times New Roman" w:eastAsia="Times New Roman" w:hAnsi="Times New Roman"/>
          <w:b/>
          <w:sz w:val="28"/>
          <w:szCs w:val="28"/>
          <w:lang w:eastAsia="ru-RU"/>
        </w:rPr>
        <w:t>Анкета физического лица</w:t>
      </w:r>
    </w:p>
    <w:tbl>
      <w:tblPr>
        <w:tblpPr w:leftFromText="180" w:rightFromText="180" w:vertAnchor="text" w:horzAnchor="margin" w:tblpY="283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2"/>
      </w:tblGrid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Фамилия, Имя и (если имеется) Отчество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Дата рождения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Место рождения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Гражданство (подданство) (в случае наличия нескольких – указать все)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Адрес места жительства (регистрации) или место пребывания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Сведения о документе, удостоверяющем личность: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наименование, серия (при наличии) и номер, дата выдачи документа, наименование органа, выдавшего документ, код подразделения (при наличии)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Данные документов, подтверждающих право иностранного гражданина или лица без гражданства на пребывание (проживание) в 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наличие таких документов обязательно в соответствии с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 международным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 договор</w:t>
            </w:r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 Российской Федерации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законодательством 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Российской Федерации)                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Идентификационный номер налогоплательщика (при его наличии)  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наличии).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</w:t>
            </w:r>
          </w:p>
        </w:tc>
      </w:tr>
      <w:tr w:rsidR="00F90B16" w:rsidRPr="003B3290" w:rsidTr="009D2A0A">
        <w:tc>
          <w:tcPr>
            <w:tcW w:w="5245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Номера контактных телефонов, факсов, адрес электронной почты, иная контактная информация (если имеется)</w:t>
            </w:r>
          </w:p>
        </w:tc>
        <w:tc>
          <w:tcPr>
            <w:tcW w:w="4962" w:type="dxa"/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Принадлежность к ИПДЛ*, Должностному лицу публичной международной организации**, РПДЛ*** (в случае положительного ответа - должность, наименование и адрес работодателя, источник происхождения денежных средств или иного имущества)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>ДА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>Являетесь ли Вы супругом/супругой или родственником ИПДЛ, Должностного лица публичной международной организации, РПДЛ (в случае положительного ответа  - степень родства и ФИО, должность, наименование и адрес работодателя публичного должностного лица, источник происхождения денежных средств или иного имущества)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>ДА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Действуете ли Вы от имени ИПДЛ, Должностного лица публичной международной организации, РПДЛ (в случае положительного ответа  - ФИО, должность, наименование и адрес работодателя публичного 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lastRenderedPageBreak/>
              <w:t>должностного лица, источник происхождения денежных средств или иного имущества)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lastRenderedPageBreak/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>ДА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90B16" w:rsidRPr="003B3290" w:rsidTr="009D2A0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  <w:tab w:val="left" w:pos="7797"/>
                <w:tab w:val="left" w:pos="7938"/>
                <w:tab w:val="left" w:pos="8505"/>
              </w:tabs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Являетесь ли Вы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</w:t>
            </w:r>
            <w:r w:rsidRPr="003B3290">
              <w:rPr>
                <w:rFonts w:ascii="Times New Roman" w:eastAsia="Times New Roman" w:hAnsi="Times New Roman"/>
                <w:lang w:eastAsia="ru-RU"/>
              </w:rPr>
              <w:t>енефициарным</w:t>
            </w:r>
            <w:proofErr w:type="spellEnd"/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B3290">
              <w:rPr>
                <w:rFonts w:ascii="Times New Roman" w:eastAsia="Times New Roman" w:hAnsi="Times New Roman"/>
                <w:lang w:eastAsia="ru-RU"/>
              </w:rPr>
              <w:t>владельцем</w:t>
            </w:r>
            <w:r w:rsidRPr="003B3290">
              <w:rPr>
                <w:rFonts w:ascii="Times New Roman" w:eastAsia="Times New Roman" w:hAnsi="Times New Roman"/>
                <w:b/>
                <w:lang w:eastAsia="ru-RU"/>
              </w:rPr>
              <w:t>?*</w:t>
            </w:r>
            <w:proofErr w:type="gramEnd"/>
            <w:r w:rsidRPr="003B3290">
              <w:rPr>
                <w:rFonts w:ascii="Times New Roman" w:eastAsia="Times New Roman" w:hAnsi="Times New Roman"/>
                <w:b/>
                <w:lang w:eastAsia="ru-RU"/>
              </w:rPr>
              <w:t>***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  <w:tab w:val="left" w:pos="7797"/>
                <w:tab w:val="left" w:pos="7938"/>
                <w:tab w:val="left" w:pos="8505"/>
              </w:tabs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(В случае отрицательного ответа заполняется Приложение № 13)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 xml:space="preserve">НЕТ </w:t>
            </w:r>
          </w:p>
          <w:p w:rsidR="00F90B16" w:rsidRPr="003B3290" w:rsidRDefault="00F90B16" w:rsidP="009D2A0A">
            <w:pPr>
              <w:tabs>
                <w:tab w:val="left" w:pos="284"/>
                <w:tab w:val="left" w:pos="1134"/>
              </w:tabs>
              <w:spacing w:after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B3290">
              <w:rPr>
                <w:rFonts w:ascii="Times New Roman" w:eastAsia="Times New Roman" w:hAnsi="Times New Roman"/>
                <w:lang w:eastAsia="ru-RU"/>
              </w:rPr>
              <w:instrText xml:space="preserve"> FORMCHECKBOX </w:instrText>
            </w:r>
            <w:r w:rsidR="00555A68">
              <w:rPr>
                <w:rFonts w:ascii="Times New Roman" w:eastAsia="Times New Roman" w:hAnsi="Times New Roman"/>
                <w:lang w:eastAsia="ru-RU"/>
              </w:rPr>
            </w:r>
            <w:r w:rsidR="00555A68">
              <w:rPr>
                <w:rFonts w:ascii="Times New Roman" w:eastAsia="Times New Roman" w:hAnsi="Times New Roman"/>
                <w:lang w:eastAsia="ru-RU"/>
              </w:rPr>
              <w:fldChar w:fldCharType="separate"/>
            </w:r>
            <w:r w:rsidRPr="003B3290">
              <w:rPr>
                <w:rFonts w:ascii="Times New Roman" w:eastAsia="Times New Roman" w:hAnsi="Times New Roman"/>
                <w:lang w:eastAsia="ru-RU"/>
              </w:rPr>
              <w:fldChar w:fldCharType="end"/>
            </w:r>
            <w:r w:rsidRPr="003B3290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</w:tr>
    </w:tbl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B16" w:rsidRPr="003B3290" w:rsidRDefault="00F90B16" w:rsidP="00F90B1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290">
        <w:rPr>
          <w:rFonts w:ascii="Times New Roman" w:eastAsia="Times New Roman" w:hAnsi="Times New Roman"/>
          <w:sz w:val="20"/>
          <w:szCs w:val="20"/>
          <w:lang w:eastAsia="ru-RU"/>
        </w:rPr>
        <w:t>Я подтверждаю, что информация, указанная в настоящей форме, является достоверной.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3B3290">
        <w:rPr>
          <w:rFonts w:ascii="Times New Roman" w:eastAsia="Times New Roman" w:hAnsi="Times New Roman"/>
          <w:b/>
          <w:lang w:eastAsia="ru-RU"/>
        </w:rPr>
        <w:t xml:space="preserve">Дата </w:t>
      </w:r>
      <w:proofErr w:type="gramStart"/>
      <w:r w:rsidRPr="003B3290">
        <w:rPr>
          <w:rFonts w:ascii="Times New Roman" w:eastAsia="Times New Roman" w:hAnsi="Times New Roman"/>
          <w:b/>
          <w:lang w:eastAsia="ru-RU"/>
        </w:rPr>
        <w:t>заполнения:  «</w:t>
      </w:r>
      <w:proofErr w:type="gramEnd"/>
      <w:r w:rsidRPr="003B3290">
        <w:rPr>
          <w:rFonts w:ascii="Times New Roman" w:eastAsia="Times New Roman" w:hAnsi="Times New Roman"/>
          <w:b/>
          <w:lang w:eastAsia="ru-RU"/>
        </w:rPr>
        <w:t xml:space="preserve"> _____»  __________________  20___г.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3B3290">
        <w:rPr>
          <w:rFonts w:ascii="Times New Roman" w:eastAsia="Times New Roman" w:hAnsi="Times New Roman"/>
          <w:b/>
          <w:lang w:eastAsia="ru-RU"/>
        </w:rPr>
        <w:t>Клиент</w:t>
      </w:r>
      <w:r w:rsidRPr="003B3290">
        <w:rPr>
          <w:rFonts w:ascii="Times New Roman" w:eastAsia="Times New Roman" w:hAnsi="Times New Roman"/>
          <w:lang w:eastAsia="ru-RU"/>
        </w:rPr>
        <w:t xml:space="preserve">  _</w:t>
      </w:r>
      <w:proofErr w:type="gramEnd"/>
      <w:r w:rsidRPr="003B3290">
        <w:rPr>
          <w:rFonts w:ascii="Times New Roman" w:eastAsia="Times New Roman" w:hAnsi="Times New Roman"/>
          <w:lang w:eastAsia="ru-RU"/>
        </w:rPr>
        <w:t>__________/ ______________________________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3B3290">
        <w:rPr>
          <w:rFonts w:ascii="Times New Roman" w:eastAsia="Times New Roman" w:hAnsi="Times New Roman"/>
          <w:lang w:eastAsia="ru-RU"/>
        </w:rPr>
        <w:t xml:space="preserve">                  подпись                                Фамилия И.О.                   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3B3290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Отметка </w:t>
      </w:r>
      <w:r>
        <w:rPr>
          <w:rFonts w:ascii="Times New Roman" w:eastAsia="Times New Roman" w:hAnsi="Times New Roman"/>
          <w:b/>
          <w:bCs/>
          <w:u w:val="single"/>
          <w:lang w:eastAsia="ru-RU"/>
        </w:rPr>
        <w:t>АО</w:t>
      </w:r>
      <w:r w:rsidRPr="003B3290">
        <w:rPr>
          <w:rFonts w:ascii="Times New Roman" w:eastAsia="Times New Roman" w:hAnsi="Times New Roman"/>
          <w:b/>
          <w:bCs/>
          <w:u w:val="single"/>
          <w:lang w:eastAsia="ru-RU"/>
        </w:rPr>
        <w:t xml:space="preserve"> «Татэнергосбыт»: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B3290">
        <w:rPr>
          <w:rFonts w:ascii="Times New Roman" w:eastAsia="Times New Roman" w:hAnsi="Times New Roman"/>
          <w:b/>
          <w:bCs/>
          <w:lang w:eastAsia="ru-RU"/>
        </w:rPr>
        <w:t>Сотрудник, проверявший Анкету__________________________________________________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3B329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</w:t>
      </w:r>
      <w:r w:rsidRPr="003B3290">
        <w:rPr>
          <w:rFonts w:ascii="Times New Roman" w:eastAsia="Times New Roman" w:hAnsi="Times New Roman"/>
          <w:bCs/>
          <w:lang w:eastAsia="ru-RU"/>
        </w:rPr>
        <w:t xml:space="preserve">(подпись, </w:t>
      </w:r>
      <w:r w:rsidRPr="003B3290">
        <w:rPr>
          <w:rFonts w:ascii="Times New Roman" w:eastAsia="Times New Roman" w:hAnsi="Times New Roman"/>
          <w:lang w:eastAsia="ru-RU"/>
        </w:rPr>
        <w:t>Ф.И.О., должность, наименование подразделения</w:t>
      </w:r>
      <w:r w:rsidRPr="003B3290">
        <w:rPr>
          <w:rFonts w:ascii="Times New Roman" w:eastAsia="Times New Roman" w:hAnsi="Times New Roman"/>
          <w:bCs/>
          <w:lang w:eastAsia="ru-RU"/>
        </w:rPr>
        <w:t>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proofErr w:type="gramStart"/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« _</w:t>
      </w:r>
      <w:proofErr w:type="gramEnd"/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____»  __________________  20___г.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* Иностранное публичное должностное лицо (ИПДЛ)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- это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Главы государств (в том числе правящие королевские династии) или правительств;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Министры, их заместители и помощники;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Высшие правительственные чиновники;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Государственный прокурор и его заместители;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Высшие военные чиновники (начальники генеральных штабов, верховные главнокомандующие и т.д.);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Руководители и члены Советов директоров Национальных Банков;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Послы;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Руководители государственных корпораций;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- Члены Парламента или иного законодательного органа и т.д. 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Принадлежность лица к категории ИПДЛ определяется в соответствии с рекомендациями ФАТФ.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** Должностное лицо публичной международной организации (ПДЛМО)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категории), в частности: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1. Руководители, заместители руководителей международных и наднациональных организаций: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Организация Объединенных Наций (ООН),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Организация экономического развития и сотрудничества (ОЭСР)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Экономический и Социальный Совет ООН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Организация стран - экспортеров нефти (ОПЕК)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Международный олимпийский комитет (МОК)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Всемирный банк (ВБ)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Международный валютный фонд (МВФ)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Европейская комиссия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Европейский центральный банк (ЕЦБ)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Европарламент;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и др.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2. Руководители и члены международных и наднациональных судебных организаций: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Международный суд ООН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Европейский суд по правам человека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Суд Европейского союза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- и др.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Принадлежность лица к категории ПДЛМО определяется в соответствии с рекомендациями ФАТФ.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*** Российские публичные должностные лица (РПДЛ)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rPr>
          <w:rFonts w:ascii="Times New Roman" w:eastAsia="Times New Roman" w:hAnsi="Times New Roman"/>
          <w:sz w:val="14"/>
          <w:szCs w:val="14"/>
          <w:lang w:eastAsia="ru-RU"/>
        </w:rPr>
      </w:pP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Лицо, связанное с ПДЛ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</w:t>
      </w:r>
      <w:proofErr w:type="spellStart"/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неполнородный</w:t>
      </w:r>
      <w:proofErr w:type="spellEnd"/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(имеющий общего отца или мать) брат и сестра, усыновитель и усыновленный).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**** </w:t>
      </w:r>
      <w:proofErr w:type="spellStart"/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>Бенефициарный</w:t>
      </w:r>
      <w:proofErr w:type="spellEnd"/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владелец: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клиента</w:t>
      </w: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физического лица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– считается это лицо, за исключением случаев, если имеются основания полагать, что </w:t>
      </w:r>
      <w:proofErr w:type="spellStart"/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бенефициарным</w:t>
      </w:r>
      <w:proofErr w:type="spellEnd"/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владельцем является иное физическое лицо;</w:t>
      </w:r>
      <w:r w:rsidRPr="003B3290">
        <w:rPr>
          <w:rFonts w:ascii="Times New Roman" w:eastAsia="Times New Roman" w:hAnsi="Times New Roman"/>
          <w:lang w:eastAsia="ru-RU"/>
        </w:rPr>
        <w:t xml:space="preserve"> </w:t>
      </w:r>
    </w:p>
    <w:p w:rsidR="00F90B16" w:rsidRPr="003B3290" w:rsidRDefault="00F90B16" w:rsidP="00F90B16">
      <w:pPr>
        <w:tabs>
          <w:tab w:val="left" w:pos="284"/>
          <w:tab w:val="left" w:pos="1134"/>
        </w:tabs>
        <w:spacing w:after="0"/>
        <w:ind w:firstLine="284"/>
        <w:contextualSpacing/>
        <w:jc w:val="both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>клиента</w:t>
      </w:r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юридического</w:t>
      </w:r>
      <w:proofErr w:type="gramEnd"/>
      <w:r w:rsidRPr="003B3290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лица</w:t>
      </w:r>
      <w:r w:rsidRPr="003B3290">
        <w:rPr>
          <w:rFonts w:ascii="Times New Roman" w:eastAsia="Times New Roman" w:hAnsi="Times New Roman"/>
          <w:sz w:val="18"/>
          <w:szCs w:val="18"/>
          <w:lang w:eastAsia="ru-RU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B14EFA" w:rsidRDefault="00B14EFA" w:rsidP="00F90B16"/>
    <w:sectPr w:rsidR="00B14EFA" w:rsidSect="00F90B16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16"/>
    <w:rsid w:val="00555A68"/>
    <w:rsid w:val="00B14EFA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217E"/>
  <w15:chartTrackingRefBased/>
  <w15:docId w15:val="{A7C650CB-48D3-4337-8A88-0642CA13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B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Дукачева Оксана Леонидовна</dc:creator>
  <cp:keywords/>
  <dc:description/>
  <cp:lastModifiedBy>Михайлова Ксения </cp:lastModifiedBy>
  <cp:revision>2</cp:revision>
  <dcterms:created xsi:type="dcterms:W3CDTF">2023-01-25T13:16:00Z</dcterms:created>
  <dcterms:modified xsi:type="dcterms:W3CDTF">2023-01-30T06:52:00Z</dcterms:modified>
</cp:coreProperties>
</file>